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3CE76" w14:textId="5E6BE052" w:rsidR="109E7504" w:rsidRDefault="0A8A2E98" w:rsidP="78773EE0">
      <w:pPr>
        <w:jc w:val="center"/>
      </w:pPr>
      <w:r w:rsidRPr="78773EE0">
        <w:rPr>
          <w:rFonts w:ascii="Times New Roman" w:eastAsia="Times New Roman" w:hAnsi="Times New Roman" w:cs="Times New Roman"/>
          <w:b/>
          <w:bCs/>
          <w:color w:val="000000" w:themeColor="text1"/>
          <w:sz w:val="28"/>
          <w:szCs w:val="28"/>
        </w:rPr>
        <w:t xml:space="preserve">AI </w:t>
      </w:r>
      <w:r w:rsidR="1E899034" w:rsidRPr="78773EE0">
        <w:rPr>
          <w:rFonts w:ascii="Times New Roman" w:eastAsia="Times New Roman" w:hAnsi="Times New Roman" w:cs="Times New Roman"/>
          <w:b/>
          <w:bCs/>
          <w:color w:val="000000" w:themeColor="text1"/>
          <w:sz w:val="28"/>
          <w:szCs w:val="28"/>
        </w:rPr>
        <w:t xml:space="preserve">for Good </w:t>
      </w:r>
      <w:r w:rsidR="004D6986">
        <w:rPr>
          <w:rFonts w:ascii="Times New Roman" w:eastAsia="Times New Roman" w:hAnsi="Times New Roman" w:cs="Times New Roman"/>
          <w:b/>
          <w:bCs/>
          <w:color w:val="000000" w:themeColor="text1"/>
          <w:sz w:val="28"/>
          <w:szCs w:val="28"/>
        </w:rPr>
        <w:t xml:space="preserve">Sandbox </w:t>
      </w:r>
      <w:r w:rsidRPr="78773EE0">
        <w:rPr>
          <w:rFonts w:ascii="Times New Roman" w:eastAsia="Times New Roman" w:hAnsi="Times New Roman" w:cs="Times New Roman"/>
          <w:b/>
          <w:bCs/>
          <w:color w:val="000000" w:themeColor="text1"/>
          <w:sz w:val="28"/>
          <w:szCs w:val="28"/>
        </w:rPr>
        <w:t>Hackathon – Team Name – Solution Name</w:t>
      </w:r>
    </w:p>
    <w:p w14:paraId="3CB4C377" w14:textId="5FC68465" w:rsidR="109E7504" w:rsidRDefault="109E7504" w:rsidP="3B355EBA">
      <w:pPr>
        <w:spacing w:after="0"/>
        <w:jc w:val="both"/>
        <w:rPr>
          <w:rFonts w:ascii="Times New Roman" w:eastAsia="Times New Roman" w:hAnsi="Times New Roman" w:cs="Times New Roman"/>
          <w:color w:val="000000" w:themeColor="text1"/>
        </w:rPr>
      </w:pPr>
      <w:r w:rsidRPr="3B355EBA">
        <w:rPr>
          <w:color w:val="000000" w:themeColor="text1"/>
        </w:rPr>
        <w:t>Team leader:</w:t>
      </w:r>
    </w:p>
    <w:p w14:paraId="22D4FB2E" w14:textId="09E96DD5" w:rsidR="109E7504" w:rsidRDefault="0A8A2E98" w:rsidP="78773EE0">
      <w:pPr>
        <w:spacing w:after="0"/>
        <w:jc w:val="both"/>
        <w:rPr>
          <w:rFonts w:ascii="Times New Roman" w:eastAsia="Times New Roman" w:hAnsi="Times New Roman" w:cs="Times New Roman"/>
          <w:color w:val="000000" w:themeColor="text1"/>
        </w:rPr>
      </w:pPr>
      <w:r w:rsidRPr="78773EE0">
        <w:rPr>
          <w:color w:val="000000" w:themeColor="text1"/>
        </w:rPr>
        <w:t>Team member</w:t>
      </w:r>
      <w:r w:rsidR="63245E9A" w:rsidRPr="78773EE0">
        <w:rPr>
          <w:color w:val="000000" w:themeColor="text1"/>
        </w:rPr>
        <w:t>s</w:t>
      </w:r>
      <w:r w:rsidRPr="78773EE0">
        <w:rPr>
          <w:color w:val="000000" w:themeColor="text1"/>
        </w:rPr>
        <w:t>:</w:t>
      </w:r>
      <w:r w:rsidR="109E7504">
        <w:br/>
      </w:r>
      <w:r w:rsidRPr="78773EE0">
        <w:rPr>
          <w:color w:val="000000" w:themeColor="text1"/>
        </w:rPr>
        <w:t>Contact details:</w:t>
      </w:r>
    </w:p>
    <w:p w14:paraId="2CEE87C7" w14:textId="456B525D" w:rsidR="109E7504" w:rsidRDefault="0A8A2E98" w:rsidP="3B355EBA">
      <w:pPr>
        <w:spacing w:after="0"/>
        <w:jc w:val="both"/>
        <w:rPr>
          <w:rFonts w:ascii="Times New Roman" w:eastAsia="Times New Roman" w:hAnsi="Times New Roman" w:cs="Times New Roman"/>
          <w:color w:val="000000" w:themeColor="text1"/>
        </w:rPr>
      </w:pPr>
      <w:r w:rsidRPr="78773EE0">
        <w:rPr>
          <w:color w:val="000000" w:themeColor="text1"/>
        </w:rPr>
        <w:t>Github link:</w:t>
      </w:r>
    </w:p>
    <w:p w14:paraId="56E3A983" w14:textId="76E933CE" w:rsidR="3B355EBA" w:rsidRDefault="3B355EBA" w:rsidP="78773EE0">
      <w:pPr>
        <w:spacing w:after="0"/>
        <w:jc w:val="both"/>
        <w:rPr>
          <w:color w:val="000000" w:themeColor="text1"/>
        </w:rPr>
      </w:pPr>
    </w:p>
    <w:p w14:paraId="670EBFDA" w14:textId="1ACCF6D8" w:rsidR="109E7504" w:rsidRDefault="109E7504" w:rsidP="3B355EBA">
      <w:pPr>
        <w:pStyle w:val="ListParagraph"/>
        <w:numPr>
          <w:ilvl w:val="0"/>
          <w:numId w:val="4"/>
        </w:numPr>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Introduction</w:t>
      </w:r>
    </w:p>
    <w:p w14:paraId="412D329D" w14:textId="6096B862" w:rsidR="109E7504" w:rsidRDefault="109E7504" w:rsidP="3B355EBA">
      <w:pPr>
        <w:ind w:left="720"/>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AI is increasingly used in various domains to analyse anomalies. In </w:t>
      </w:r>
      <w:proofErr w:type="gramStart"/>
      <w:r w:rsidRPr="3B355EBA">
        <w:rPr>
          <w:rFonts w:ascii="Times New Roman" w:eastAsia="Times New Roman" w:hAnsi="Times New Roman" w:cs="Times New Roman"/>
          <w:color w:val="000000" w:themeColor="text1"/>
        </w:rPr>
        <w:t>this use</w:t>
      </w:r>
      <w:proofErr w:type="gramEnd"/>
      <w:r w:rsidRPr="3B355EBA">
        <w:rPr>
          <w:rFonts w:ascii="Times New Roman" w:eastAsia="Times New Roman" w:hAnsi="Times New Roman" w:cs="Times New Roman"/>
          <w:color w:val="000000" w:themeColor="text1"/>
        </w:rPr>
        <w:t xml:space="preserve"> case, we propose the use of a"smart pen": an ordinary-looking writing instrument instrumented with motion, pressure, and timing sensors whose data is analysed by on-device and cloud AI models to interpret how a student writes, not just what they write. This matters </w:t>
      </w:r>
      <w:proofErr w:type="gramStart"/>
      <w:r w:rsidRPr="3B355EBA">
        <w:rPr>
          <w:rFonts w:ascii="Times New Roman" w:eastAsia="Times New Roman" w:hAnsi="Times New Roman" w:cs="Times New Roman"/>
          <w:color w:val="000000" w:themeColor="text1"/>
        </w:rPr>
        <w:t>because</w:t>
      </w:r>
      <w:proofErr w:type="gramEnd"/>
      <w:r w:rsidRPr="3B355EBA">
        <w:rPr>
          <w:rFonts w:ascii="Times New Roman" w:eastAsia="Times New Roman" w:hAnsi="Times New Roman" w:cs="Times New Roman"/>
          <w:color w:val="000000" w:themeColor="text1"/>
        </w:rPr>
        <w:t xml:space="preserve"> many learning disabilities — dyslexia, dysgraphia, and related difficulties — first surface </w:t>
      </w:r>
      <w:proofErr w:type="gramStart"/>
      <w:r w:rsidRPr="3B355EBA">
        <w:rPr>
          <w:rFonts w:ascii="Times New Roman" w:eastAsia="Times New Roman" w:hAnsi="Times New Roman" w:cs="Times New Roman"/>
          <w:color w:val="000000" w:themeColor="text1"/>
        </w:rPr>
        <w:t>as</w:t>
      </w:r>
      <w:proofErr w:type="gramEnd"/>
      <w:r w:rsidRPr="3B355EBA">
        <w:rPr>
          <w:rFonts w:ascii="Times New Roman" w:eastAsia="Times New Roman" w:hAnsi="Times New Roman" w:cs="Times New Roman"/>
          <w:color w:val="000000" w:themeColor="text1"/>
        </w:rPr>
        <w:t xml:space="preserve"> subtle irregularities in handwriting and hesitation patterns that are easy to miss in a busy classroom. Detecting them early, at the middle-school stage, is critical: timely intervention dramatically improves a child's academic trajectory and confidence, whereas late or missed detection compounds disadvantage for years. Bringing affordable, scalable AI to this problem turns early screening from a scarce specialist service into something that can reach every student.</w:t>
      </w:r>
    </w:p>
    <w:p w14:paraId="128164F4" w14:textId="7836DD64" w:rsidR="109E7504" w:rsidRDefault="109E7504" w:rsidP="3B355EBA">
      <w:pPr>
        <w:ind w:left="720"/>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This submission maps the technical solution of the use case with the policy/strategies for AI integration so that the overall </w:t>
      </w:r>
      <w:proofErr w:type="gramStart"/>
      <w:r w:rsidRPr="3B355EBA">
        <w:rPr>
          <w:rFonts w:ascii="Times New Roman" w:eastAsia="Times New Roman" w:hAnsi="Times New Roman" w:cs="Times New Roman"/>
          <w:color w:val="000000" w:themeColor="text1"/>
        </w:rPr>
        <w:t>aspects</w:t>
      </w:r>
      <w:proofErr w:type="gramEnd"/>
      <w:r w:rsidRPr="3B355EBA">
        <w:rPr>
          <w:rFonts w:ascii="Times New Roman" w:eastAsia="Times New Roman" w:hAnsi="Times New Roman" w:cs="Times New Roman"/>
          <w:color w:val="000000" w:themeColor="text1"/>
        </w:rPr>
        <w:t xml:space="preserve"> of practical value </w:t>
      </w:r>
      <w:proofErr w:type="gramStart"/>
      <w:r w:rsidRPr="3B355EBA">
        <w:rPr>
          <w:rFonts w:ascii="Times New Roman" w:eastAsia="Times New Roman" w:hAnsi="Times New Roman" w:cs="Times New Roman"/>
          <w:color w:val="000000" w:themeColor="text1"/>
        </w:rPr>
        <w:t>is</w:t>
      </w:r>
      <w:proofErr w:type="gramEnd"/>
      <w:r w:rsidRPr="3B355EBA">
        <w:rPr>
          <w:rFonts w:ascii="Times New Roman" w:eastAsia="Times New Roman" w:hAnsi="Times New Roman" w:cs="Times New Roman"/>
          <w:color w:val="000000" w:themeColor="text1"/>
        </w:rPr>
        <w:t xml:space="preserve"> covered. Mapping to the AI Readiness framework dimensions and standards referenced (e.g. data, model validation, privacy, and deployment support), grounding the solution in the AI Readiness requirements rather than treating it as a standalone gadget, broadens the overall scope of the solution and contributes to multiple dimensions of the </w:t>
      </w:r>
      <w:proofErr w:type="gramStart"/>
      <w:r w:rsidRPr="3B355EBA">
        <w:rPr>
          <w:rFonts w:ascii="Times New Roman" w:eastAsia="Times New Roman" w:hAnsi="Times New Roman" w:cs="Times New Roman"/>
          <w:color w:val="000000" w:themeColor="text1"/>
        </w:rPr>
        <w:t>countries</w:t>
      </w:r>
      <w:proofErr w:type="gramEnd"/>
      <w:r w:rsidRPr="3B355EBA">
        <w:rPr>
          <w:rFonts w:ascii="Times New Roman" w:eastAsia="Times New Roman" w:hAnsi="Times New Roman" w:cs="Times New Roman"/>
          <w:color w:val="000000" w:themeColor="text1"/>
        </w:rPr>
        <w:t xml:space="preserve"> effort towards a digital and intelligent future. </w:t>
      </w:r>
    </w:p>
    <w:p w14:paraId="5C97044B" w14:textId="651C385A" w:rsidR="109E7504" w:rsidRDefault="0A8A2E98" w:rsidP="78773EE0">
      <w:pPr>
        <w:pStyle w:val="ListParagraph"/>
        <w:numPr>
          <w:ilvl w:val="0"/>
          <w:numId w:val="4"/>
        </w:numPr>
        <w:jc w:val="both"/>
        <w:rPr>
          <w:rFonts w:ascii="Times New Roman" w:eastAsia="Times New Roman" w:hAnsi="Times New Roman" w:cs="Times New Roman"/>
          <w:color w:val="000000" w:themeColor="text1"/>
        </w:rPr>
      </w:pPr>
      <w:r w:rsidRPr="78773EE0">
        <w:rPr>
          <w:rFonts w:ascii="Times New Roman" w:eastAsia="Times New Roman" w:hAnsi="Times New Roman" w:cs="Times New Roman"/>
          <w:color w:val="000000" w:themeColor="text1"/>
        </w:rPr>
        <w:t xml:space="preserve">Description of the use case </w:t>
      </w:r>
    </w:p>
    <w:p w14:paraId="27EC3356" w14:textId="7C9B84A3" w:rsidR="109E7504" w:rsidRDefault="109E7504" w:rsidP="3B355EBA">
      <w:pPr>
        <w:ind w:left="720"/>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The problem is early detection of learning disabilities where at-risk students are looked over until it is too late for intervention. Existing solutions rely on manual, pen-and-paper evaluations administered by a limited pool of specialists: they are subjective, resource-intensive, infrequent, and — because a child is singled out and observed — often uncomfortable and stigmatising for the student. Our solution is a smart pen combined with an AI analysis layer that unobtrusively captures handwriting kinematics (stroke pressure, speed, pauses, letter formation) during normal classroom writing and flags patterns associated with learning disabilities, producing an early, objective, and non-intrusive indication that a specialist can then confirm.</w:t>
      </w:r>
    </w:p>
    <w:p w14:paraId="0EB519C9" w14:textId="74707E3E" w:rsidR="3B355EBA" w:rsidRDefault="3B355EBA" w:rsidP="3B355EBA">
      <w:pPr>
        <w:jc w:val="both"/>
        <w:rPr>
          <w:rFonts w:ascii="Times New Roman" w:eastAsia="Times New Roman" w:hAnsi="Times New Roman" w:cs="Times New Roman"/>
          <w:color w:val="000000" w:themeColor="text1"/>
        </w:rPr>
      </w:pPr>
    </w:p>
    <w:p w14:paraId="714F72BE" w14:textId="78D364D8" w:rsidR="109E7504" w:rsidRDefault="0A8A2E98" w:rsidP="3B355EBA">
      <w:pPr>
        <w:jc w:val="both"/>
        <w:rPr>
          <w:rFonts w:ascii="Times New Roman" w:eastAsia="Times New Roman" w:hAnsi="Times New Roman" w:cs="Times New Roman"/>
          <w:color w:val="000000" w:themeColor="text1"/>
        </w:rPr>
      </w:pPr>
      <w:r w:rsidRPr="78773EE0">
        <w:rPr>
          <w:rFonts w:ascii="Times New Roman" w:eastAsia="Times New Roman" w:hAnsi="Times New Roman" w:cs="Times New Roman"/>
          <w:color w:val="000000" w:themeColor="text1"/>
        </w:rPr>
        <w:lastRenderedPageBreak/>
        <w:t xml:space="preserve">NOTE: explain how your solution is supposed to solve the gaps identified in the existing solutions. </w:t>
      </w:r>
    </w:p>
    <w:p w14:paraId="15342D17" w14:textId="3BD60088" w:rsidR="64A7F3EB" w:rsidRDefault="64A7F3EB" w:rsidP="78773EE0">
      <w:pPr>
        <w:pStyle w:val="ListParagraph"/>
        <w:numPr>
          <w:ilvl w:val="0"/>
          <w:numId w:val="4"/>
        </w:numPr>
        <w:jc w:val="both"/>
        <w:rPr>
          <w:rFonts w:ascii="Times New Roman" w:eastAsia="Times New Roman" w:hAnsi="Times New Roman" w:cs="Times New Roman"/>
          <w:color w:val="000000" w:themeColor="text1"/>
        </w:rPr>
      </w:pPr>
      <w:r w:rsidRPr="78773EE0">
        <w:rPr>
          <w:rFonts w:ascii="Times New Roman" w:eastAsia="Times New Roman" w:hAnsi="Times New Roman" w:cs="Times New Roman"/>
          <w:color w:val="000000" w:themeColor="text1"/>
        </w:rPr>
        <w:t>Use case requirement</w:t>
      </w:r>
    </w:p>
    <w:p w14:paraId="0DED0148" w14:textId="6C74E34B" w:rsidR="64A7F3EB" w:rsidRDefault="64A7F3EB" w:rsidP="78773EE0">
      <w:pPr>
        <w:jc w:val="both"/>
        <w:rPr>
          <w:rFonts w:ascii="Times New Roman" w:eastAsia="Times New Roman" w:hAnsi="Times New Roman" w:cs="Times New Roman"/>
          <w:color w:val="000000" w:themeColor="text1"/>
        </w:rPr>
      </w:pPr>
      <w:proofErr w:type="gramStart"/>
      <w:r w:rsidRPr="78773EE0">
        <w:rPr>
          <w:rFonts w:ascii="Times New Roman" w:eastAsia="Times New Roman" w:hAnsi="Times New Roman" w:cs="Times New Roman"/>
          <w:color w:val="000000" w:themeColor="text1"/>
        </w:rPr>
        <w:t>Each node of the</w:t>
      </w:r>
      <w:proofErr w:type="gramEnd"/>
      <w:r w:rsidRPr="78773EE0">
        <w:rPr>
          <w:rFonts w:ascii="Times New Roman" w:eastAsia="Times New Roman" w:hAnsi="Times New Roman" w:cs="Times New Roman"/>
          <w:color w:val="000000" w:themeColor="text1"/>
        </w:rPr>
        <w:t xml:space="preserve"> pipeline is associated with requirements. At data node, it is required that xxx volume of data be collected for a valid inference. It is required that the data be transferred to the edge cloud/core cloud via WiFi. It is required that xxx policies be applied to xxx node to guarantee personal information protection and deidentification. ...</w:t>
      </w:r>
    </w:p>
    <w:p w14:paraId="7C572FF3" w14:textId="10C293CF" w:rsidR="109E7504" w:rsidRDefault="0A8A2E98" w:rsidP="78773EE0">
      <w:pPr>
        <w:pStyle w:val="ListParagraph"/>
        <w:numPr>
          <w:ilvl w:val="0"/>
          <w:numId w:val="4"/>
        </w:numPr>
        <w:jc w:val="both"/>
        <w:rPr>
          <w:rFonts w:ascii="Times New Roman" w:eastAsia="Times New Roman" w:hAnsi="Times New Roman" w:cs="Times New Roman"/>
          <w:color w:val="000000" w:themeColor="text1"/>
        </w:rPr>
      </w:pPr>
      <w:r w:rsidRPr="78773EE0">
        <w:rPr>
          <w:rFonts w:ascii="Times New Roman" w:eastAsia="Times New Roman" w:hAnsi="Times New Roman" w:cs="Times New Roman"/>
          <w:color w:val="000000" w:themeColor="text1"/>
        </w:rPr>
        <w:t>Mapp</w:t>
      </w:r>
      <w:r w:rsidR="1EE45A0B" w:rsidRPr="78773EE0">
        <w:rPr>
          <w:rFonts w:ascii="Times New Roman" w:eastAsia="Times New Roman" w:hAnsi="Times New Roman" w:cs="Times New Roman"/>
          <w:color w:val="000000" w:themeColor="text1"/>
        </w:rPr>
        <w:t>ing with ITU-T Y.3172</w:t>
      </w:r>
      <w:r w:rsidR="20F132FC" w:rsidRPr="78773EE0">
        <w:rPr>
          <w:rFonts w:ascii="Times New Roman" w:eastAsia="Times New Roman" w:hAnsi="Times New Roman" w:cs="Times New Roman"/>
          <w:color w:val="000000" w:themeColor="text1"/>
        </w:rPr>
        <w:t xml:space="preserve"> Readiness 2.0 Report, and domain-specific policies</w:t>
      </w:r>
    </w:p>
    <w:tbl>
      <w:tblPr>
        <w:tblStyle w:val="TableGridLight"/>
        <w:tblW w:w="9359" w:type="dxa"/>
        <w:tblBorders>
          <w:top w:val="single" w:sz="6" w:space="0" w:color="auto"/>
          <w:left w:val="single" w:sz="6" w:space="0" w:color="auto"/>
          <w:bottom w:val="single" w:sz="6" w:space="0" w:color="auto"/>
          <w:right w:val="single" w:sz="6" w:space="0" w:color="auto"/>
        </w:tblBorders>
        <w:tblLook w:val="0420" w:firstRow="1" w:lastRow="0" w:firstColumn="0" w:lastColumn="0" w:noHBand="0" w:noVBand="1"/>
      </w:tblPr>
      <w:tblGrid>
        <w:gridCol w:w="1541"/>
        <w:gridCol w:w="2300"/>
        <w:gridCol w:w="2300"/>
        <w:gridCol w:w="3218"/>
      </w:tblGrid>
      <w:tr w:rsidR="3B355EBA" w14:paraId="6E70CE7A" w14:textId="77777777" w:rsidTr="78773EE0">
        <w:trPr>
          <w:trHeight w:val="360"/>
        </w:trPr>
        <w:tc>
          <w:tcPr>
            <w:tcW w:w="1541" w:type="dxa"/>
            <w:tcMar>
              <w:left w:w="105" w:type="dxa"/>
              <w:right w:w="105" w:type="dxa"/>
            </w:tcMar>
          </w:tcPr>
          <w:p w14:paraId="4718062F" w14:textId="36A9FD3F" w:rsidR="3B355EBA" w:rsidRDefault="3B355EBA" w:rsidP="3B355EBA">
            <w:pPr>
              <w:rPr>
                <w:rFonts w:ascii="Times New Roman" w:eastAsia="Times New Roman" w:hAnsi="Times New Roman" w:cs="Times New Roman"/>
              </w:rPr>
            </w:pPr>
          </w:p>
        </w:tc>
        <w:tc>
          <w:tcPr>
            <w:tcW w:w="2300" w:type="dxa"/>
            <w:tcMar>
              <w:left w:w="105" w:type="dxa"/>
              <w:right w:w="105" w:type="dxa"/>
            </w:tcMar>
          </w:tcPr>
          <w:p w14:paraId="701CB69A" w14:textId="3E7836ED" w:rsidR="3B355EBA" w:rsidRDefault="3B355EBA" w:rsidP="3B355EBA">
            <w:pPr>
              <w:rPr>
                <w:rFonts w:ascii="Times New Roman" w:eastAsia="Times New Roman" w:hAnsi="Times New Roman" w:cs="Times New Roman"/>
              </w:rPr>
            </w:pPr>
            <w:r w:rsidRPr="3B355EBA">
              <w:rPr>
                <w:rFonts w:ascii="Times New Roman" w:eastAsia="Times New Roman" w:hAnsi="Times New Roman" w:cs="Times New Roman"/>
                <w:b/>
                <w:bCs/>
              </w:rPr>
              <w:t>Use case (e.g. smart classroom, education domain)</w:t>
            </w:r>
          </w:p>
        </w:tc>
        <w:tc>
          <w:tcPr>
            <w:tcW w:w="2300" w:type="dxa"/>
            <w:tcMar>
              <w:left w:w="105" w:type="dxa"/>
              <w:right w:w="105" w:type="dxa"/>
            </w:tcMar>
          </w:tcPr>
          <w:p w14:paraId="771B921A" w14:textId="7EC14DE2" w:rsidR="347E3610" w:rsidRDefault="347E3610" w:rsidP="78773EE0">
            <w:r w:rsidRPr="78773EE0">
              <w:rPr>
                <w:rFonts w:ascii="Times New Roman" w:eastAsia="Times New Roman" w:hAnsi="Times New Roman" w:cs="Times New Roman"/>
                <w:b/>
                <w:bCs/>
              </w:rPr>
              <w:t>Readiness 2.0 Report</w:t>
            </w:r>
          </w:p>
        </w:tc>
        <w:tc>
          <w:tcPr>
            <w:tcW w:w="3218" w:type="dxa"/>
            <w:tcMar>
              <w:left w:w="105" w:type="dxa"/>
              <w:right w:w="105" w:type="dxa"/>
            </w:tcMar>
          </w:tcPr>
          <w:p w14:paraId="6BB9BD28" w14:textId="6953EB5E" w:rsidR="3B355EBA" w:rsidRDefault="3B355EBA" w:rsidP="3B355EBA">
            <w:pPr>
              <w:rPr>
                <w:rFonts w:ascii="Times New Roman" w:eastAsia="Times New Roman" w:hAnsi="Times New Roman" w:cs="Times New Roman"/>
              </w:rPr>
            </w:pPr>
            <w:r w:rsidRPr="3B355EBA">
              <w:rPr>
                <w:rFonts w:ascii="Times New Roman" w:eastAsia="Times New Roman" w:hAnsi="Times New Roman" w:cs="Times New Roman"/>
                <w:b/>
                <w:bCs/>
              </w:rPr>
              <w:t>Documents (e.g. policies, strategies, AI innovative regulations)</w:t>
            </w:r>
          </w:p>
        </w:tc>
      </w:tr>
      <w:tr w:rsidR="3B355EBA" w14:paraId="1192C389" w14:textId="77777777" w:rsidTr="78773EE0">
        <w:trPr>
          <w:trHeight w:val="870"/>
        </w:trPr>
        <w:tc>
          <w:tcPr>
            <w:tcW w:w="1541" w:type="dxa"/>
            <w:tcMar>
              <w:left w:w="105" w:type="dxa"/>
              <w:right w:w="105" w:type="dxa"/>
            </w:tcMar>
          </w:tcPr>
          <w:p w14:paraId="3F2D5CF0" w14:textId="42785368"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SRC</w:t>
            </w:r>
          </w:p>
        </w:tc>
        <w:tc>
          <w:tcPr>
            <w:tcW w:w="2300" w:type="dxa"/>
            <w:tcMar>
              <w:left w:w="105" w:type="dxa"/>
              <w:right w:w="105" w:type="dxa"/>
            </w:tcMar>
          </w:tcPr>
          <w:p w14:paraId="2806957D" w14:textId="64358456"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Smart pens/</w:t>
            </w:r>
            <w:proofErr w:type="gramStart"/>
            <w:r w:rsidRPr="3B355EBA">
              <w:rPr>
                <w:rFonts w:ascii="Times New Roman" w:eastAsia="Times New Roman" w:hAnsi="Times New Roman" w:cs="Times New Roman"/>
                <w:color w:val="000000" w:themeColor="text1"/>
              </w:rPr>
              <w:t>stylus</w:t>
            </w:r>
            <w:proofErr w:type="gramEnd"/>
            <w:r w:rsidRPr="3B355EBA">
              <w:rPr>
                <w:rFonts w:ascii="Times New Roman" w:eastAsia="Times New Roman" w:hAnsi="Times New Roman" w:cs="Times New Roman"/>
                <w:color w:val="000000" w:themeColor="text1"/>
              </w:rPr>
              <w:t xml:space="preserve"> used by students, and a writing board used by the students</w:t>
            </w:r>
          </w:p>
        </w:tc>
        <w:tc>
          <w:tcPr>
            <w:tcW w:w="2300" w:type="dxa"/>
            <w:tcMar>
              <w:left w:w="105" w:type="dxa"/>
              <w:right w:w="105" w:type="dxa"/>
            </w:tcMar>
          </w:tcPr>
          <w:p w14:paraId="06DA74EA" w14:textId="7F5F7F26" w:rsidR="3C8EB989" w:rsidRDefault="3C8EB989" w:rsidP="78773EE0">
            <w:r w:rsidRPr="78773EE0">
              <w:rPr>
                <w:rFonts w:ascii="Times New Roman" w:eastAsia="Times New Roman" w:hAnsi="Times New Roman" w:cs="Times New Roman"/>
                <w:color w:val="000000" w:themeColor="text1"/>
              </w:rPr>
              <w:t>Data and model marketplace</w:t>
            </w:r>
          </w:p>
        </w:tc>
        <w:tc>
          <w:tcPr>
            <w:tcW w:w="3218" w:type="dxa"/>
            <w:tcMar>
              <w:left w:w="105" w:type="dxa"/>
              <w:right w:w="105" w:type="dxa"/>
            </w:tcMar>
          </w:tcPr>
          <w:p w14:paraId="0F6C8F7C" w14:textId="580EA522"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Usability guidelines (how these devices can be used by children in schools), SOP (standard operating procedures provided by the schools or government departments)</w:t>
            </w:r>
          </w:p>
        </w:tc>
      </w:tr>
      <w:tr w:rsidR="3B355EBA" w14:paraId="3EFD1671" w14:textId="77777777" w:rsidTr="78773EE0">
        <w:trPr>
          <w:trHeight w:val="870"/>
        </w:trPr>
        <w:tc>
          <w:tcPr>
            <w:tcW w:w="1541" w:type="dxa"/>
            <w:tcMar>
              <w:left w:w="105" w:type="dxa"/>
              <w:right w:w="105" w:type="dxa"/>
            </w:tcMar>
          </w:tcPr>
          <w:p w14:paraId="132C3FDA" w14:textId="7A46E79D"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C</w:t>
            </w:r>
          </w:p>
        </w:tc>
        <w:tc>
          <w:tcPr>
            <w:tcW w:w="2300" w:type="dxa"/>
            <w:tcMar>
              <w:left w:w="105" w:type="dxa"/>
              <w:right w:w="105" w:type="dxa"/>
            </w:tcMar>
          </w:tcPr>
          <w:p w14:paraId="07A82C8D" w14:textId="14EB5077"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An edge compute platform deployed in the school</w:t>
            </w:r>
          </w:p>
        </w:tc>
        <w:tc>
          <w:tcPr>
            <w:tcW w:w="2300" w:type="dxa"/>
            <w:tcMar>
              <w:left w:w="105" w:type="dxa"/>
              <w:right w:w="105" w:type="dxa"/>
            </w:tcMar>
          </w:tcPr>
          <w:p w14:paraId="00F142B6" w14:textId="59928C05" w:rsidR="38DF0D16" w:rsidRDefault="38DF0D16" w:rsidP="78773EE0">
            <w:r w:rsidRPr="78773EE0">
              <w:rPr>
                <w:rFonts w:ascii="Times New Roman" w:eastAsia="Times New Roman" w:hAnsi="Times New Roman" w:cs="Times New Roman"/>
                <w:color w:val="000000" w:themeColor="text1"/>
              </w:rPr>
              <w:t>Edge AI usage</w:t>
            </w:r>
          </w:p>
        </w:tc>
        <w:tc>
          <w:tcPr>
            <w:tcW w:w="3218" w:type="dxa"/>
            <w:tcMar>
              <w:left w:w="105" w:type="dxa"/>
              <w:right w:w="105" w:type="dxa"/>
            </w:tcMar>
          </w:tcPr>
          <w:p w14:paraId="34C5DE4C" w14:textId="39758B9C"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Reliability, availability guidelines, regulations of edge platforms.</w:t>
            </w:r>
          </w:p>
        </w:tc>
      </w:tr>
      <w:tr w:rsidR="3B355EBA" w14:paraId="693735BB" w14:textId="77777777" w:rsidTr="78773EE0">
        <w:trPr>
          <w:trHeight w:val="870"/>
        </w:trPr>
        <w:tc>
          <w:tcPr>
            <w:tcW w:w="1541" w:type="dxa"/>
            <w:tcMar>
              <w:left w:w="105" w:type="dxa"/>
              <w:right w:w="105" w:type="dxa"/>
            </w:tcMar>
          </w:tcPr>
          <w:p w14:paraId="5462EED1" w14:textId="02892843"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PP</w:t>
            </w:r>
          </w:p>
        </w:tc>
        <w:tc>
          <w:tcPr>
            <w:tcW w:w="2300" w:type="dxa"/>
            <w:tcMar>
              <w:left w:w="105" w:type="dxa"/>
              <w:right w:w="105" w:type="dxa"/>
            </w:tcMar>
          </w:tcPr>
          <w:p w14:paraId="50BDC54C" w14:textId="63E5AF67"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In the device used by the student OR in the edge compute platform</w:t>
            </w:r>
          </w:p>
        </w:tc>
        <w:tc>
          <w:tcPr>
            <w:tcW w:w="2300" w:type="dxa"/>
            <w:tcMar>
              <w:left w:w="105" w:type="dxa"/>
              <w:right w:w="105" w:type="dxa"/>
            </w:tcMar>
          </w:tcPr>
          <w:p w14:paraId="078723A0" w14:textId="3901DBB3" w:rsidR="0DE2D318" w:rsidRDefault="0DE2D318" w:rsidP="78773EE0">
            <w:r w:rsidRPr="78773EE0">
              <w:rPr>
                <w:rFonts w:ascii="Times New Roman" w:eastAsia="Times New Roman" w:hAnsi="Times New Roman" w:cs="Times New Roman"/>
                <w:color w:val="000000" w:themeColor="text1"/>
              </w:rPr>
              <w:t>Data harmonization standardized representation format</w:t>
            </w:r>
          </w:p>
        </w:tc>
        <w:tc>
          <w:tcPr>
            <w:tcW w:w="3218" w:type="dxa"/>
            <w:tcMar>
              <w:left w:w="105" w:type="dxa"/>
              <w:right w:w="105" w:type="dxa"/>
            </w:tcMar>
          </w:tcPr>
          <w:p w14:paraId="3D26FBAA" w14:textId="7A9407F9" w:rsidR="3B355EBA" w:rsidRDefault="3B355EBA" w:rsidP="3B355EBA">
            <w:pPr>
              <w:rPr>
                <w:rFonts w:ascii="Times New Roman" w:eastAsia="Times New Roman" w:hAnsi="Times New Roman" w:cs="Times New Roman"/>
              </w:rPr>
            </w:pPr>
          </w:p>
        </w:tc>
      </w:tr>
      <w:tr w:rsidR="3B355EBA" w14:paraId="615EC48C" w14:textId="77777777" w:rsidTr="78773EE0">
        <w:trPr>
          <w:trHeight w:val="870"/>
        </w:trPr>
        <w:tc>
          <w:tcPr>
            <w:tcW w:w="1541" w:type="dxa"/>
            <w:tcMar>
              <w:left w:w="105" w:type="dxa"/>
              <w:right w:w="105" w:type="dxa"/>
            </w:tcMar>
          </w:tcPr>
          <w:p w14:paraId="4C90E070" w14:textId="0F295A16"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M</w:t>
            </w:r>
          </w:p>
        </w:tc>
        <w:tc>
          <w:tcPr>
            <w:tcW w:w="2300" w:type="dxa"/>
            <w:tcMar>
              <w:left w:w="105" w:type="dxa"/>
              <w:right w:w="105" w:type="dxa"/>
            </w:tcMar>
          </w:tcPr>
          <w:p w14:paraId="63DB4D10" w14:textId="02ED8720"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Anomaly detection models, handwriting analysis models, image analysis or classification models.</w:t>
            </w:r>
          </w:p>
        </w:tc>
        <w:tc>
          <w:tcPr>
            <w:tcW w:w="2300" w:type="dxa"/>
            <w:tcMar>
              <w:left w:w="105" w:type="dxa"/>
              <w:right w:w="105" w:type="dxa"/>
            </w:tcMar>
          </w:tcPr>
          <w:p w14:paraId="55755B57" w14:textId="4EC6812A" w:rsidR="1F373516" w:rsidRDefault="1F373516" w:rsidP="78773EE0">
            <w:r w:rsidRPr="78773EE0">
              <w:rPr>
                <w:rFonts w:ascii="Times New Roman" w:eastAsia="Times New Roman" w:hAnsi="Times New Roman" w:cs="Times New Roman"/>
                <w:color w:val="000000" w:themeColor="text1"/>
              </w:rPr>
              <w:t>Source of data input, source of model, metadata</w:t>
            </w:r>
          </w:p>
        </w:tc>
        <w:tc>
          <w:tcPr>
            <w:tcW w:w="3218" w:type="dxa"/>
            <w:tcMar>
              <w:left w:w="105" w:type="dxa"/>
              <w:right w:w="105" w:type="dxa"/>
            </w:tcMar>
          </w:tcPr>
          <w:p w14:paraId="2B7D959A" w14:textId="76810B27"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Benchmarking standards, privacy guidelines, guardrails. </w:t>
            </w:r>
          </w:p>
        </w:tc>
      </w:tr>
      <w:tr w:rsidR="3B355EBA" w14:paraId="5B9AA44C" w14:textId="77777777" w:rsidTr="78773EE0">
        <w:trPr>
          <w:trHeight w:val="870"/>
        </w:trPr>
        <w:tc>
          <w:tcPr>
            <w:tcW w:w="1541" w:type="dxa"/>
            <w:tcMar>
              <w:left w:w="105" w:type="dxa"/>
              <w:right w:w="105" w:type="dxa"/>
            </w:tcMar>
          </w:tcPr>
          <w:p w14:paraId="4A051596" w14:textId="4EFBBEFD"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P</w:t>
            </w:r>
          </w:p>
        </w:tc>
        <w:tc>
          <w:tcPr>
            <w:tcW w:w="2300" w:type="dxa"/>
            <w:tcMar>
              <w:left w:w="105" w:type="dxa"/>
              <w:right w:w="105" w:type="dxa"/>
            </w:tcMar>
          </w:tcPr>
          <w:p w14:paraId="4E5FC059" w14:textId="24BA5A12"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Any inference from the model </w:t>
            </w:r>
            <w:proofErr w:type="gramStart"/>
            <w:r w:rsidRPr="3B355EBA">
              <w:rPr>
                <w:rFonts w:ascii="Times New Roman" w:eastAsia="Times New Roman" w:hAnsi="Times New Roman" w:cs="Times New Roman"/>
                <w:color w:val="000000" w:themeColor="text1"/>
              </w:rPr>
              <w:t>has to</w:t>
            </w:r>
            <w:proofErr w:type="gramEnd"/>
            <w:r w:rsidRPr="3B355EBA">
              <w:rPr>
                <w:rFonts w:ascii="Times New Roman" w:eastAsia="Times New Roman" w:hAnsi="Times New Roman" w:cs="Times New Roman"/>
                <w:color w:val="000000" w:themeColor="text1"/>
              </w:rPr>
              <w:t xml:space="preserve"> be reviewed by trained student counsellors before discussing with the parent/student.</w:t>
            </w:r>
          </w:p>
        </w:tc>
        <w:tc>
          <w:tcPr>
            <w:tcW w:w="2300" w:type="dxa"/>
            <w:tcMar>
              <w:left w:w="105" w:type="dxa"/>
              <w:right w:w="105" w:type="dxa"/>
            </w:tcMar>
          </w:tcPr>
          <w:p w14:paraId="508B09FC" w14:textId="26281D66" w:rsidR="7DC98014" w:rsidRDefault="7DC98014" w:rsidP="78773EE0">
            <w:r w:rsidRPr="78773EE0">
              <w:rPr>
                <w:rFonts w:ascii="Times New Roman" w:eastAsia="Times New Roman" w:hAnsi="Times New Roman" w:cs="Times New Roman"/>
                <w:color w:val="000000" w:themeColor="text1"/>
              </w:rPr>
              <w:t xml:space="preserve">Trustworthiness of the model, </w:t>
            </w:r>
          </w:p>
          <w:p w14:paraId="6A8815DD" w14:textId="36E50D8F" w:rsidR="7DC98014" w:rsidRDefault="7DC98014" w:rsidP="78773EE0">
            <w:r w:rsidRPr="78773EE0">
              <w:rPr>
                <w:rFonts w:ascii="Times New Roman" w:eastAsia="Times New Roman" w:hAnsi="Times New Roman" w:cs="Times New Roman"/>
                <w:color w:val="000000" w:themeColor="text1"/>
              </w:rPr>
              <w:t>Strategy alignment with other universities, industries developing the AI solution</w:t>
            </w:r>
          </w:p>
        </w:tc>
        <w:tc>
          <w:tcPr>
            <w:tcW w:w="3218" w:type="dxa"/>
            <w:tcMar>
              <w:left w:w="105" w:type="dxa"/>
              <w:right w:w="105" w:type="dxa"/>
            </w:tcMar>
          </w:tcPr>
          <w:p w14:paraId="6EC227E8" w14:textId="0C865745"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Human-in-loop, </w:t>
            </w:r>
          </w:p>
          <w:p w14:paraId="44F6457A" w14:textId="216BDB18"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Overriding conditions.</w:t>
            </w:r>
          </w:p>
        </w:tc>
      </w:tr>
      <w:tr w:rsidR="3B355EBA" w14:paraId="4476D063" w14:textId="77777777" w:rsidTr="78773EE0">
        <w:trPr>
          <w:trHeight w:val="870"/>
        </w:trPr>
        <w:tc>
          <w:tcPr>
            <w:tcW w:w="1541" w:type="dxa"/>
            <w:tcMar>
              <w:left w:w="105" w:type="dxa"/>
              <w:right w:w="105" w:type="dxa"/>
            </w:tcMar>
          </w:tcPr>
          <w:p w14:paraId="425CC24B" w14:textId="79C042D1"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D</w:t>
            </w:r>
          </w:p>
        </w:tc>
        <w:tc>
          <w:tcPr>
            <w:tcW w:w="2300" w:type="dxa"/>
            <w:tcMar>
              <w:left w:w="105" w:type="dxa"/>
              <w:right w:w="105" w:type="dxa"/>
            </w:tcMar>
          </w:tcPr>
          <w:p w14:paraId="66179F04" w14:textId="4A3961A6"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An analytics platform hosted in the provider cloud</w:t>
            </w:r>
          </w:p>
        </w:tc>
        <w:tc>
          <w:tcPr>
            <w:tcW w:w="2300" w:type="dxa"/>
            <w:tcMar>
              <w:left w:w="105" w:type="dxa"/>
              <w:right w:w="105" w:type="dxa"/>
            </w:tcMar>
          </w:tcPr>
          <w:p w14:paraId="29CB0D9D" w14:textId="5D1EE61A" w:rsidR="78773EE0" w:rsidRDefault="78773EE0" w:rsidP="78773EE0">
            <w:pPr>
              <w:rPr>
                <w:rFonts w:ascii="Times New Roman" w:eastAsia="Times New Roman" w:hAnsi="Times New Roman" w:cs="Times New Roman"/>
                <w:color w:val="000000" w:themeColor="text1"/>
              </w:rPr>
            </w:pPr>
          </w:p>
        </w:tc>
        <w:tc>
          <w:tcPr>
            <w:tcW w:w="3218" w:type="dxa"/>
            <w:tcMar>
              <w:left w:w="105" w:type="dxa"/>
              <w:right w:w="105" w:type="dxa"/>
            </w:tcMar>
          </w:tcPr>
          <w:p w14:paraId="618A4865" w14:textId="490A9EB4"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Energy considerations</w:t>
            </w:r>
          </w:p>
        </w:tc>
      </w:tr>
      <w:tr w:rsidR="3B355EBA" w14:paraId="426E9D91" w14:textId="77777777" w:rsidTr="78773EE0">
        <w:trPr>
          <w:trHeight w:val="870"/>
        </w:trPr>
        <w:tc>
          <w:tcPr>
            <w:tcW w:w="1541" w:type="dxa"/>
            <w:tcMar>
              <w:left w:w="105" w:type="dxa"/>
              <w:right w:w="105" w:type="dxa"/>
            </w:tcMar>
          </w:tcPr>
          <w:p w14:paraId="7B2D6950" w14:textId="68DD41C5"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SINK</w:t>
            </w:r>
          </w:p>
        </w:tc>
        <w:tc>
          <w:tcPr>
            <w:tcW w:w="2300" w:type="dxa"/>
            <w:tcMar>
              <w:left w:w="105" w:type="dxa"/>
              <w:right w:w="105" w:type="dxa"/>
            </w:tcMar>
          </w:tcPr>
          <w:p w14:paraId="18476FC2" w14:textId="05DEDB2C" w:rsidR="3B355EBA" w:rsidRDefault="3B355EBA" w:rsidP="3B355EBA">
            <w:pPr>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Smart application which is hosted on the mobile of the parent / teachers.</w:t>
            </w:r>
          </w:p>
        </w:tc>
        <w:tc>
          <w:tcPr>
            <w:tcW w:w="2300" w:type="dxa"/>
            <w:tcMar>
              <w:left w:w="105" w:type="dxa"/>
              <w:right w:w="105" w:type="dxa"/>
            </w:tcMar>
          </w:tcPr>
          <w:p w14:paraId="4005DC09" w14:textId="09414333" w:rsidR="36B56B16" w:rsidRDefault="36B56B16" w:rsidP="78773EE0">
            <w:r w:rsidRPr="78773EE0">
              <w:rPr>
                <w:rFonts w:ascii="Times New Roman" w:eastAsia="Times New Roman" w:hAnsi="Times New Roman" w:cs="Times New Roman"/>
                <w:color w:val="000000" w:themeColor="text1"/>
              </w:rPr>
              <w:t>Collaboration with AI, human in the loop</w:t>
            </w:r>
          </w:p>
        </w:tc>
        <w:tc>
          <w:tcPr>
            <w:tcW w:w="3218" w:type="dxa"/>
            <w:tcMar>
              <w:left w:w="105" w:type="dxa"/>
              <w:right w:w="105" w:type="dxa"/>
            </w:tcMar>
          </w:tcPr>
          <w:p w14:paraId="65D1204F" w14:textId="38EEE6EF" w:rsidR="3B355EBA" w:rsidRDefault="3B355EBA" w:rsidP="3B355EBA">
            <w:pPr>
              <w:rPr>
                <w:rFonts w:ascii="Times New Roman" w:eastAsia="Times New Roman" w:hAnsi="Times New Roman" w:cs="Times New Roman"/>
              </w:rPr>
            </w:pPr>
          </w:p>
        </w:tc>
      </w:tr>
    </w:tbl>
    <w:p w14:paraId="18BF6DCB" w14:textId="2FB4B5BD" w:rsidR="3B355EBA" w:rsidRDefault="3B355EBA" w:rsidP="3B355EBA">
      <w:pPr>
        <w:jc w:val="both"/>
        <w:rPr>
          <w:rFonts w:ascii="Times New Roman" w:eastAsia="Times New Roman" w:hAnsi="Times New Roman" w:cs="Times New Roman"/>
          <w:color w:val="000000" w:themeColor="text1"/>
        </w:rPr>
      </w:pPr>
    </w:p>
    <w:p w14:paraId="34252254" w14:textId="2F3176FA" w:rsidR="109E7504" w:rsidRDefault="0A8A2E98" w:rsidP="78773EE0">
      <w:pPr>
        <w:jc w:val="both"/>
        <w:rPr>
          <w:rFonts w:ascii="Times New Roman" w:eastAsia="Times New Roman" w:hAnsi="Times New Roman" w:cs="Times New Roman"/>
          <w:color w:val="000000" w:themeColor="text1"/>
        </w:rPr>
      </w:pPr>
      <w:r w:rsidRPr="78773EE0">
        <w:rPr>
          <w:rFonts w:ascii="Times New Roman" w:eastAsia="Times New Roman" w:hAnsi="Times New Roman" w:cs="Times New Roman"/>
          <w:color w:val="000000" w:themeColor="text1"/>
        </w:rPr>
        <w:t xml:space="preserve">NOTE: for each node in the ML pipeline, you are supposed to find relevant policy documents that could </w:t>
      </w:r>
      <w:proofErr w:type="gramStart"/>
      <w:r w:rsidRPr="78773EE0">
        <w:rPr>
          <w:rFonts w:ascii="Times New Roman" w:eastAsia="Times New Roman" w:hAnsi="Times New Roman" w:cs="Times New Roman"/>
          <w:color w:val="000000" w:themeColor="text1"/>
        </w:rPr>
        <w:t>support</w:t>
      </w:r>
      <w:proofErr w:type="gramEnd"/>
      <w:r w:rsidRPr="78773EE0">
        <w:rPr>
          <w:rFonts w:ascii="Times New Roman" w:eastAsia="Times New Roman" w:hAnsi="Times New Roman" w:cs="Times New Roman"/>
          <w:color w:val="000000" w:themeColor="text1"/>
        </w:rPr>
        <w:t xml:space="preserve"> the </w:t>
      </w:r>
      <w:r w:rsidR="225CAB8E" w:rsidRPr="78773EE0">
        <w:rPr>
          <w:rFonts w:ascii="Times New Roman" w:eastAsia="Times New Roman" w:hAnsi="Times New Roman" w:cs="Times New Roman"/>
          <w:color w:val="000000" w:themeColor="text1"/>
        </w:rPr>
        <w:t>requirements listed in section 3</w:t>
      </w:r>
      <w:r w:rsidRPr="78773EE0">
        <w:rPr>
          <w:rFonts w:ascii="Times New Roman" w:eastAsia="Times New Roman" w:hAnsi="Times New Roman" w:cs="Times New Roman"/>
          <w:color w:val="000000" w:themeColor="text1"/>
        </w:rPr>
        <w:t>. The readiness report mapping should not be limited to data/model handling, but also include other dimensions, e.g., strategy alignment (with other institutions/domains), interface design (inclusion of the AI solution, AI techniques such as edge AI models), and collaboration between AI and human.</w:t>
      </w:r>
    </w:p>
    <w:p w14:paraId="75A0750C" w14:textId="02951926" w:rsidR="109E7504" w:rsidRDefault="2D10F3D1" w:rsidP="78773EE0">
      <w:pPr>
        <w:pStyle w:val="ListParagraph"/>
        <w:numPr>
          <w:ilvl w:val="0"/>
          <w:numId w:val="4"/>
        </w:numPr>
        <w:jc w:val="both"/>
        <w:rPr>
          <w:rFonts w:ascii="Times New Roman" w:eastAsia="Times New Roman" w:hAnsi="Times New Roman" w:cs="Times New Roman"/>
          <w:color w:val="000000" w:themeColor="text1"/>
        </w:rPr>
      </w:pPr>
      <w:r w:rsidRPr="78773EE0">
        <w:rPr>
          <w:rFonts w:ascii="Times New Roman" w:eastAsia="Times New Roman" w:hAnsi="Times New Roman" w:cs="Times New Roman"/>
          <w:color w:val="000000" w:themeColor="text1"/>
        </w:rPr>
        <w:t xml:space="preserve">Error </w:t>
      </w:r>
      <w:r w:rsidR="0A8A2E98" w:rsidRPr="78773EE0">
        <w:rPr>
          <w:rFonts w:ascii="Times New Roman" w:eastAsia="Times New Roman" w:hAnsi="Times New Roman" w:cs="Times New Roman"/>
          <w:color w:val="000000" w:themeColor="text1"/>
        </w:rPr>
        <w:t>scenarios.</w:t>
      </w:r>
    </w:p>
    <w:p w14:paraId="3C7FA515" w14:textId="0F6D98EB" w:rsidR="109E7504" w:rsidRDefault="109E7504" w:rsidP="3B355EBA">
      <w:pPr>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1.Step-1: Smart classroom scenario is deployed in the </w:t>
      </w:r>
      <w:proofErr w:type="gramStart"/>
      <w:r w:rsidRPr="3B355EBA">
        <w:rPr>
          <w:rFonts w:ascii="Times New Roman" w:eastAsia="Times New Roman" w:hAnsi="Times New Roman" w:cs="Times New Roman"/>
          <w:color w:val="000000" w:themeColor="text1"/>
        </w:rPr>
        <w:t>country</w:t>
      </w:r>
      <w:proofErr w:type="gramEnd"/>
      <w:r w:rsidRPr="3B355EBA">
        <w:rPr>
          <w:rFonts w:ascii="Times New Roman" w:eastAsia="Times New Roman" w:hAnsi="Times New Roman" w:cs="Times New Roman"/>
          <w:color w:val="000000" w:themeColor="text1"/>
        </w:rPr>
        <w:t xml:space="preserve"> and it is highly popular among the students. </w:t>
      </w:r>
    </w:p>
    <w:p w14:paraId="567EE2D6" w14:textId="1B0455BB" w:rsidR="109E7504" w:rsidRDefault="109E7504" w:rsidP="3B355EBA">
      <w:pPr>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2.Step-2: After 6 months, it is noticed by the education department that in-app purchases are promoted by the application provider. And the students are spending $$$ on the </w:t>
      </w:r>
      <w:proofErr w:type="gramStart"/>
      <w:r w:rsidRPr="3B355EBA">
        <w:rPr>
          <w:rFonts w:ascii="Times New Roman" w:eastAsia="Times New Roman" w:hAnsi="Times New Roman" w:cs="Times New Roman"/>
          <w:color w:val="000000" w:themeColor="text1"/>
        </w:rPr>
        <w:t>in app</w:t>
      </w:r>
      <w:proofErr w:type="gramEnd"/>
      <w:r w:rsidRPr="3B355EBA">
        <w:rPr>
          <w:rFonts w:ascii="Times New Roman" w:eastAsia="Times New Roman" w:hAnsi="Times New Roman" w:cs="Times New Roman"/>
          <w:color w:val="000000" w:themeColor="text1"/>
        </w:rPr>
        <w:t xml:space="preserve"> purchases.</w:t>
      </w:r>
    </w:p>
    <w:p w14:paraId="45D20B83" w14:textId="043528AC" w:rsidR="109E7504" w:rsidRDefault="109E7504" w:rsidP="3B355EBA">
      <w:pPr>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3.Step-3: this was monitored and the actions are discussed based on the policies in </w:t>
      </w:r>
      <w:proofErr w:type="gramStart"/>
      <w:r w:rsidRPr="3B355EBA">
        <w:rPr>
          <w:rFonts w:ascii="Times New Roman" w:eastAsia="Times New Roman" w:hAnsi="Times New Roman" w:cs="Times New Roman"/>
          <w:color w:val="000000" w:themeColor="text1"/>
        </w:rPr>
        <w:t>the KB</w:t>
      </w:r>
      <w:proofErr w:type="gramEnd"/>
      <w:r w:rsidRPr="3B355EBA">
        <w:rPr>
          <w:rFonts w:ascii="Times New Roman" w:eastAsia="Times New Roman" w:hAnsi="Times New Roman" w:cs="Times New Roman"/>
          <w:color w:val="000000" w:themeColor="text1"/>
        </w:rPr>
        <w:t>.</w:t>
      </w:r>
    </w:p>
    <w:p w14:paraId="75AB453F" w14:textId="2A26617D" w:rsidR="109E7504" w:rsidRDefault="109E7504" w:rsidP="3B355EBA">
      <w:pPr>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NOTE: the scenarios are supposed to be mapped with the solutions you proposed. Given the gaps identified and the functions of your solution, how could different scenarios be handled? The scenarios should not only cover the situations where the solution works, it should also discuss the situations where the solution might face controversy. You need to explain how the solution could address the controversy.</w:t>
      </w:r>
    </w:p>
    <w:p w14:paraId="045A62DC" w14:textId="55F079A0" w:rsidR="109E7504" w:rsidRDefault="109E7504" w:rsidP="3B355EBA">
      <w:pPr>
        <w:spacing w:before="240" w:after="240"/>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NOTE- </w:t>
      </w:r>
    </w:p>
    <w:p w14:paraId="68612343" w14:textId="75F390FE" w:rsidR="109E7504" w:rsidRDefault="109E7504" w:rsidP="3B355EBA">
      <w:pPr>
        <w:pStyle w:val="ListParagraph"/>
        <w:numPr>
          <w:ilvl w:val="0"/>
          <w:numId w:val="3"/>
        </w:numPr>
        <w:spacing w:before="240" w:after="240"/>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appropriate corrective actions are deliberated and applied under those pre-agreed rules rather than ad hoc. </w:t>
      </w:r>
    </w:p>
    <w:p w14:paraId="7F029A3F" w14:textId="37A0ADF5" w:rsidR="109E7504" w:rsidRDefault="109E7504" w:rsidP="3B355EBA">
      <w:pPr>
        <w:pStyle w:val="ListParagraph"/>
        <w:numPr>
          <w:ilvl w:val="0"/>
          <w:numId w:val="3"/>
        </w:numPr>
        <w:spacing w:before="240" w:after="240"/>
        <w:jc w:val="both"/>
        <w:rPr>
          <w:rFonts w:ascii="Times New Roman" w:eastAsia="Times New Roman" w:hAnsi="Times New Roman" w:cs="Times New Roman"/>
          <w:color w:val="000000" w:themeColor="text1"/>
        </w:rPr>
      </w:pPr>
      <w:r w:rsidRPr="3B355EBA">
        <w:rPr>
          <w:rFonts w:ascii="Times New Roman" w:eastAsia="Times New Roman" w:hAnsi="Times New Roman" w:cs="Times New Roman"/>
          <w:color w:val="000000" w:themeColor="text1"/>
        </w:rPr>
        <w:t xml:space="preserve">The judges' added scenario sharpens the test: monitoring agencies observe that targeted advertisements </w:t>
      </w:r>
    </w:p>
    <w:p w14:paraId="4777493E" w14:textId="5D153786" w:rsidR="109E7504" w:rsidRDefault="0A8A2E98" w:rsidP="3B355EBA">
      <w:pPr>
        <w:pStyle w:val="ListParagraph"/>
        <w:numPr>
          <w:ilvl w:val="0"/>
          <w:numId w:val="3"/>
        </w:numPr>
        <w:spacing w:before="240" w:after="240"/>
        <w:jc w:val="both"/>
        <w:rPr>
          <w:rFonts w:ascii="Times New Roman" w:eastAsia="Times New Roman" w:hAnsi="Times New Roman" w:cs="Times New Roman"/>
          <w:color w:val="000000" w:themeColor="text1"/>
        </w:rPr>
      </w:pPr>
      <w:r w:rsidRPr="78773EE0">
        <w:rPr>
          <w:rFonts w:ascii="Times New Roman" w:eastAsia="Times New Roman" w:hAnsi="Times New Roman" w:cs="Times New Roman"/>
          <w:color w:val="000000" w:themeColor="text1"/>
        </w:rPr>
        <w:t>This escalates the case from a consumer-protection issue to a data-privacy and ethics breach, and the knowledge-base policies must now trigger stronger guardrails: prohibiting the use of inferred disability signals for advertising, enforcing consent and purpose-limitation for children's data, and referring the matter to the national AI ethics oversight for sanction and remediation.</w:t>
      </w:r>
    </w:p>
    <w:p w14:paraId="2B9AF668" w14:textId="67E66956" w:rsidR="78773EE0" w:rsidRDefault="78773EE0" w:rsidP="78773EE0">
      <w:pPr>
        <w:pStyle w:val="ListParagraph"/>
        <w:spacing w:before="240" w:after="240"/>
        <w:ind w:left="1080"/>
        <w:jc w:val="both"/>
        <w:rPr>
          <w:rFonts w:ascii="Times New Roman" w:eastAsia="Times New Roman" w:hAnsi="Times New Roman" w:cs="Times New Roman"/>
          <w:color w:val="000000" w:themeColor="text1"/>
        </w:rPr>
      </w:pPr>
    </w:p>
    <w:p w14:paraId="0E1E4AA8" w14:textId="0E0EF499" w:rsidR="3B355EBA" w:rsidRDefault="1A8D7764" w:rsidP="78773EE0">
      <w:pPr>
        <w:pStyle w:val="ListParagraph"/>
        <w:numPr>
          <w:ilvl w:val="0"/>
          <w:numId w:val="4"/>
        </w:numPr>
        <w:spacing w:before="240" w:after="240"/>
        <w:jc w:val="both"/>
        <w:rPr>
          <w:rFonts w:ascii="Times New Roman" w:eastAsia="Times New Roman" w:hAnsi="Times New Roman" w:cs="Times New Roman"/>
          <w:color w:val="000000" w:themeColor="text1"/>
        </w:rPr>
      </w:pPr>
      <w:r w:rsidRPr="78773EE0">
        <w:rPr>
          <w:rFonts w:ascii="Times New Roman" w:eastAsia="Times New Roman" w:hAnsi="Times New Roman" w:cs="Times New Roman"/>
          <w:color w:val="000000" w:themeColor="text1"/>
        </w:rPr>
        <w:t>Policy gaps and standards gaps derived from the mapping exercise</w:t>
      </w:r>
    </w:p>
    <w:sectPr w:rsidR="3B355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37FB"/>
    <w:multiLevelType w:val="hybridMultilevel"/>
    <w:tmpl w:val="13DE99AC"/>
    <w:lvl w:ilvl="0" w:tplc="0A5EF5A2">
      <w:start w:val="1"/>
      <w:numFmt w:val="decimal"/>
      <w:lvlText w:val="%1."/>
      <w:lvlJc w:val="left"/>
      <w:pPr>
        <w:ind w:left="720" w:hanging="360"/>
      </w:pPr>
    </w:lvl>
    <w:lvl w:ilvl="1" w:tplc="F58EF05A">
      <w:start w:val="1"/>
      <w:numFmt w:val="lowerLetter"/>
      <w:lvlText w:val="%2."/>
      <w:lvlJc w:val="left"/>
      <w:pPr>
        <w:ind w:left="1440" w:hanging="360"/>
      </w:pPr>
    </w:lvl>
    <w:lvl w:ilvl="2" w:tplc="593CBE0E">
      <w:start w:val="1"/>
      <w:numFmt w:val="lowerRoman"/>
      <w:lvlText w:val="%3."/>
      <w:lvlJc w:val="right"/>
      <w:pPr>
        <w:ind w:left="2160" w:hanging="180"/>
      </w:pPr>
    </w:lvl>
    <w:lvl w:ilvl="3" w:tplc="A7E80B68">
      <w:start w:val="1"/>
      <w:numFmt w:val="decimal"/>
      <w:lvlText w:val="%4."/>
      <w:lvlJc w:val="left"/>
      <w:pPr>
        <w:ind w:left="2880" w:hanging="360"/>
      </w:pPr>
    </w:lvl>
    <w:lvl w:ilvl="4" w:tplc="E6108828">
      <w:start w:val="1"/>
      <w:numFmt w:val="lowerLetter"/>
      <w:lvlText w:val="%5."/>
      <w:lvlJc w:val="left"/>
      <w:pPr>
        <w:ind w:left="3600" w:hanging="360"/>
      </w:pPr>
    </w:lvl>
    <w:lvl w:ilvl="5" w:tplc="0682F654">
      <w:start w:val="1"/>
      <w:numFmt w:val="lowerRoman"/>
      <w:lvlText w:val="%6."/>
      <w:lvlJc w:val="right"/>
      <w:pPr>
        <w:ind w:left="4320" w:hanging="180"/>
      </w:pPr>
    </w:lvl>
    <w:lvl w:ilvl="6" w:tplc="A9B8918C">
      <w:start w:val="1"/>
      <w:numFmt w:val="decimal"/>
      <w:lvlText w:val="%7."/>
      <w:lvlJc w:val="left"/>
      <w:pPr>
        <w:ind w:left="5040" w:hanging="360"/>
      </w:pPr>
    </w:lvl>
    <w:lvl w:ilvl="7" w:tplc="3D6A8E6A">
      <w:start w:val="1"/>
      <w:numFmt w:val="lowerLetter"/>
      <w:lvlText w:val="%8."/>
      <w:lvlJc w:val="left"/>
      <w:pPr>
        <w:ind w:left="5760" w:hanging="360"/>
      </w:pPr>
    </w:lvl>
    <w:lvl w:ilvl="8" w:tplc="25768A12">
      <w:start w:val="1"/>
      <w:numFmt w:val="lowerRoman"/>
      <w:lvlText w:val="%9."/>
      <w:lvlJc w:val="right"/>
      <w:pPr>
        <w:ind w:left="6480" w:hanging="180"/>
      </w:pPr>
    </w:lvl>
  </w:abstractNum>
  <w:abstractNum w:abstractNumId="1" w15:restartNumberingAfterBreak="0">
    <w:nsid w:val="10E59C79"/>
    <w:multiLevelType w:val="hybridMultilevel"/>
    <w:tmpl w:val="55783A1A"/>
    <w:lvl w:ilvl="0" w:tplc="7C8ECFE2">
      <w:start w:val="1"/>
      <w:numFmt w:val="decimal"/>
      <w:lvlText w:val="%1."/>
      <w:lvlJc w:val="left"/>
      <w:pPr>
        <w:ind w:left="720" w:hanging="360"/>
      </w:pPr>
      <w:rPr>
        <w:rFonts w:ascii="Times New Roman" w:hAnsi="Times New Roman" w:hint="default"/>
      </w:rPr>
    </w:lvl>
    <w:lvl w:ilvl="1" w:tplc="C72A3904">
      <w:start w:val="1"/>
      <w:numFmt w:val="lowerLetter"/>
      <w:lvlText w:val="%2."/>
      <w:lvlJc w:val="left"/>
      <w:pPr>
        <w:ind w:left="1440" w:hanging="360"/>
      </w:pPr>
    </w:lvl>
    <w:lvl w:ilvl="2" w:tplc="A852E14A">
      <w:start w:val="1"/>
      <w:numFmt w:val="lowerRoman"/>
      <w:lvlText w:val="%3."/>
      <w:lvlJc w:val="right"/>
      <w:pPr>
        <w:ind w:left="2160" w:hanging="180"/>
      </w:pPr>
    </w:lvl>
    <w:lvl w:ilvl="3" w:tplc="5FEA32DA">
      <w:start w:val="1"/>
      <w:numFmt w:val="decimal"/>
      <w:lvlText w:val="%4."/>
      <w:lvlJc w:val="left"/>
      <w:pPr>
        <w:ind w:left="2880" w:hanging="360"/>
      </w:pPr>
    </w:lvl>
    <w:lvl w:ilvl="4" w:tplc="510A52A8">
      <w:start w:val="1"/>
      <w:numFmt w:val="lowerLetter"/>
      <w:lvlText w:val="%5."/>
      <w:lvlJc w:val="left"/>
      <w:pPr>
        <w:ind w:left="3600" w:hanging="360"/>
      </w:pPr>
    </w:lvl>
    <w:lvl w:ilvl="5" w:tplc="89284938">
      <w:start w:val="1"/>
      <w:numFmt w:val="lowerRoman"/>
      <w:lvlText w:val="%6."/>
      <w:lvlJc w:val="right"/>
      <w:pPr>
        <w:ind w:left="4320" w:hanging="180"/>
      </w:pPr>
    </w:lvl>
    <w:lvl w:ilvl="6" w:tplc="550AF23E">
      <w:start w:val="1"/>
      <w:numFmt w:val="decimal"/>
      <w:lvlText w:val="%7."/>
      <w:lvlJc w:val="left"/>
      <w:pPr>
        <w:ind w:left="5040" w:hanging="360"/>
      </w:pPr>
    </w:lvl>
    <w:lvl w:ilvl="7" w:tplc="D24C2C66">
      <w:start w:val="1"/>
      <w:numFmt w:val="lowerLetter"/>
      <w:lvlText w:val="%8."/>
      <w:lvlJc w:val="left"/>
      <w:pPr>
        <w:ind w:left="5760" w:hanging="360"/>
      </w:pPr>
    </w:lvl>
    <w:lvl w:ilvl="8" w:tplc="BFCC973E">
      <w:start w:val="1"/>
      <w:numFmt w:val="lowerRoman"/>
      <w:lvlText w:val="%9."/>
      <w:lvlJc w:val="right"/>
      <w:pPr>
        <w:ind w:left="6480" w:hanging="180"/>
      </w:pPr>
    </w:lvl>
  </w:abstractNum>
  <w:abstractNum w:abstractNumId="2" w15:restartNumberingAfterBreak="0">
    <w:nsid w:val="2EA30953"/>
    <w:multiLevelType w:val="hybridMultilevel"/>
    <w:tmpl w:val="90FC84A0"/>
    <w:lvl w:ilvl="0" w:tplc="8FC28104">
      <w:start w:val="1"/>
      <w:numFmt w:val="bullet"/>
      <w:lvlText w:val="-"/>
      <w:lvlJc w:val="left"/>
      <w:pPr>
        <w:ind w:left="1080" w:hanging="360"/>
      </w:pPr>
      <w:rPr>
        <w:rFonts w:ascii="Aptos" w:hAnsi="Aptos" w:hint="default"/>
      </w:rPr>
    </w:lvl>
    <w:lvl w:ilvl="1" w:tplc="124C57B4">
      <w:start w:val="1"/>
      <w:numFmt w:val="bullet"/>
      <w:lvlText w:val="o"/>
      <w:lvlJc w:val="left"/>
      <w:pPr>
        <w:ind w:left="1440" w:hanging="360"/>
      </w:pPr>
      <w:rPr>
        <w:rFonts w:ascii="Courier New" w:hAnsi="Courier New" w:hint="default"/>
      </w:rPr>
    </w:lvl>
    <w:lvl w:ilvl="2" w:tplc="EB92CC0C">
      <w:start w:val="1"/>
      <w:numFmt w:val="bullet"/>
      <w:lvlText w:val=""/>
      <w:lvlJc w:val="left"/>
      <w:pPr>
        <w:ind w:left="2160" w:hanging="360"/>
      </w:pPr>
      <w:rPr>
        <w:rFonts w:ascii="Wingdings" w:hAnsi="Wingdings" w:hint="default"/>
      </w:rPr>
    </w:lvl>
    <w:lvl w:ilvl="3" w:tplc="79D68A90">
      <w:start w:val="1"/>
      <w:numFmt w:val="bullet"/>
      <w:lvlText w:val=""/>
      <w:lvlJc w:val="left"/>
      <w:pPr>
        <w:ind w:left="2880" w:hanging="360"/>
      </w:pPr>
      <w:rPr>
        <w:rFonts w:ascii="Symbol" w:hAnsi="Symbol" w:hint="default"/>
      </w:rPr>
    </w:lvl>
    <w:lvl w:ilvl="4" w:tplc="1C3A5CE2">
      <w:start w:val="1"/>
      <w:numFmt w:val="bullet"/>
      <w:lvlText w:val="o"/>
      <w:lvlJc w:val="left"/>
      <w:pPr>
        <w:ind w:left="3600" w:hanging="360"/>
      </w:pPr>
      <w:rPr>
        <w:rFonts w:ascii="Courier New" w:hAnsi="Courier New" w:hint="default"/>
      </w:rPr>
    </w:lvl>
    <w:lvl w:ilvl="5" w:tplc="AF40B99E">
      <w:start w:val="1"/>
      <w:numFmt w:val="bullet"/>
      <w:lvlText w:val=""/>
      <w:lvlJc w:val="left"/>
      <w:pPr>
        <w:ind w:left="4320" w:hanging="360"/>
      </w:pPr>
      <w:rPr>
        <w:rFonts w:ascii="Wingdings" w:hAnsi="Wingdings" w:hint="default"/>
      </w:rPr>
    </w:lvl>
    <w:lvl w:ilvl="6" w:tplc="7190FEAC">
      <w:start w:val="1"/>
      <w:numFmt w:val="bullet"/>
      <w:lvlText w:val=""/>
      <w:lvlJc w:val="left"/>
      <w:pPr>
        <w:ind w:left="5040" w:hanging="360"/>
      </w:pPr>
      <w:rPr>
        <w:rFonts w:ascii="Symbol" w:hAnsi="Symbol" w:hint="default"/>
      </w:rPr>
    </w:lvl>
    <w:lvl w:ilvl="7" w:tplc="BFDC076A">
      <w:start w:val="1"/>
      <w:numFmt w:val="bullet"/>
      <w:lvlText w:val="o"/>
      <w:lvlJc w:val="left"/>
      <w:pPr>
        <w:ind w:left="5760" w:hanging="360"/>
      </w:pPr>
      <w:rPr>
        <w:rFonts w:ascii="Courier New" w:hAnsi="Courier New" w:hint="default"/>
      </w:rPr>
    </w:lvl>
    <w:lvl w:ilvl="8" w:tplc="D2C8DDEA">
      <w:start w:val="1"/>
      <w:numFmt w:val="bullet"/>
      <w:lvlText w:val=""/>
      <w:lvlJc w:val="left"/>
      <w:pPr>
        <w:ind w:left="6480" w:hanging="360"/>
      </w:pPr>
      <w:rPr>
        <w:rFonts w:ascii="Wingdings" w:hAnsi="Wingdings" w:hint="default"/>
      </w:rPr>
    </w:lvl>
  </w:abstractNum>
  <w:abstractNum w:abstractNumId="3" w15:restartNumberingAfterBreak="0">
    <w:nsid w:val="3376BD69"/>
    <w:multiLevelType w:val="hybridMultilevel"/>
    <w:tmpl w:val="6B3090DE"/>
    <w:lvl w:ilvl="0" w:tplc="FEBAC140">
      <w:start w:val="1"/>
      <w:numFmt w:val="decimal"/>
      <w:lvlText w:val="%1."/>
      <w:lvlJc w:val="left"/>
      <w:pPr>
        <w:ind w:left="720" w:hanging="360"/>
      </w:pPr>
    </w:lvl>
    <w:lvl w:ilvl="1" w:tplc="2FDA13A4">
      <w:start w:val="1"/>
      <w:numFmt w:val="lowerLetter"/>
      <w:lvlText w:val="%2."/>
      <w:lvlJc w:val="left"/>
      <w:pPr>
        <w:ind w:left="1440" w:hanging="360"/>
      </w:pPr>
      <w:rPr>
        <w:rFonts w:ascii="Aptos" w:hAnsi="Aptos" w:hint="default"/>
      </w:rPr>
    </w:lvl>
    <w:lvl w:ilvl="2" w:tplc="E6A2843A">
      <w:start w:val="1"/>
      <w:numFmt w:val="lowerRoman"/>
      <w:lvlText w:val="%3."/>
      <w:lvlJc w:val="right"/>
      <w:pPr>
        <w:ind w:left="2160" w:hanging="180"/>
      </w:pPr>
    </w:lvl>
    <w:lvl w:ilvl="3" w:tplc="343E9360">
      <w:start w:val="1"/>
      <w:numFmt w:val="decimal"/>
      <w:lvlText w:val="%4."/>
      <w:lvlJc w:val="left"/>
      <w:pPr>
        <w:ind w:left="2880" w:hanging="360"/>
      </w:pPr>
    </w:lvl>
    <w:lvl w:ilvl="4" w:tplc="4BD0D482">
      <w:start w:val="1"/>
      <w:numFmt w:val="lowerLetter"/>
      <w:lvlText w:val="%5."/>
      <w:lvlJc w:val="left"/>
      <w:pPr>
        <w:ind w:left="3600" w:hanging="360"/>
      </w:pPr>
    </w:lvl>
    <w:lvl w:ilvl="5" w:tplc="25569E88">
      <w:start w:val="1"/>
      <w:numFmt w:val="lowerRoman"/>
      <w:lvlText w:val="%6."/>
      <w:lvlJc w:val="right"/>
      <w:pPr>
        <w:ind w:left="4320" w:hanging="180"/>
      </w:pPr>
    </w:lvl>
    <w:lvl w:ilvl="6" w:tplc="757A2AEE">
      <w:start w:val="1"/>
      <w:numFmt w:val="decimal"/>
      <w:lvlText w:val="%7."/>
      <w:lvlJc w:val="left"/>
      <w:pPr>
        <w:ind w:left="5040" w:hanging="360"/>
      </w:pPr>
    </w:lvl>
    <w:lvl w:ilvl="7" w:tplc="6F466226">
      <w:start w:val="1"/>
      <w:numFmt w:val="lowerLetter"/>
      <w:lvlText w:val="%8."/>
      <w:lvlJc w:val="left"/>
      <w:pPr>
        <w:ind w:left="5760" w:hanging="360"/>
      </w:pPr>
    </w:lvl>
    <w:lvl w:ilvl="8" w:tplc="A88EDBB4">
      <w:start w:val="1"/>
      <w:numFmt w:val="lowerRoman"/>
      <w:lvlText w:val="%9."/>
      <w:lvlJc w:val="right"/>
      <w:pPr>
        <w:ind w:left="6480" w:hanging="180"/>
      </w:pPr>
    </w:lvl>
  </w:abstractNum>
  <w:abstractNum w:abstractNumId="4" w15:restartNumberingAfterBreak="0">
    <w:nsid w:val="4555E858"/>
    <w:multiLevelType w:val="hybridMultilevel"/>
    <w:tmpl w:val="B04A9EE8"/>
    <w:lvl w:ilvl="0" w:tplc="ADCE3A56">
      <w:start w:val="1"/>
      <w:numFmt w:val="decimal"/>
      <w:lvlText w:val="%1."/>
      <w:lvlJc w:val="left"/>
      <w:pPr>
        <w:ind w:left="720" w:hanging="360"/>
      </w:pPr>
    </w:lvl>
    <w:lvl w:ilvl="1" w:tplc="5DA4B6FA">
      <w:start w:val="1"/>
      <w:numFmt w:val="lowerLetter"/>
      <w:lvlText w:val="%2."/>
      <w:lvlJc w:val="left"/>
      <w:pPr>
        <w:ind w:left="1440" w:hanging="360"/>
      </w:pPr>
    </w:lvl>
    <w:lvl w:ilvl="2" w:tplc="14D69D2A">
      <w:start w:val="1"/>
      <w:numFmt w:val="lowerRoman"/>
      <w:lvlText w:val="%3."/>
      <w:lvlJc w:val="right"/>
      <w:pPr>
        <w:ind w:left="2160" w:hanging="180"/>
      </w:pPr>
    </w:lvl>
    <w:lvl w:ilvl="3" w:tplc="FA16CC5E">
      <w:start w:val="1"/>
      <w:numFmt w:val="decimal"/>
      <w:lvlText w:val="%4."/>
      <w:lvlJc w:val="left"/>
      <w:pPr>
        <w:ind w:left="2880" w:hanging="360"/>
      </w:pPr>
    </w:lvl>
    <w:lvl w:ilvl="4" w:tplc="BA943440">
      <w:start w:val="1"/>
      <w:numFmt w:val="lowerLetter"/>
      <w:lvlText w:val="%5."/>
      <w:lvlJc w:val="left"/>
      <w:pPr>
        <w:ind w:left="3600" w:hanging="360"/>
      </w:pPr>
    </w:lvl>
    <w:lvl w:ilvl="5" w:tplc="F7FC40C0">
      <w:start w:val="1"/>
      <w:numFmt w:val="lowerRoman"/>
      <w:lvlText w:val="%6."/>
      <w:lvlJc w:val="right"/>
      <w:pPr>
        <w:ind w:left="4320" w:hanging="180"/>
      </w:pPr>
    </w:lvl>
    <w:lvl w:ilvl="6" w:tplc="746E0B20">
      <w:start w:val="1"/>
      <w:numFmt w:val="decimal"/>
      <w:lvlText w:val="%7."/>
      <w:lvlJc w:val="left"/>
      <w:pPr>
        <w:ind w:left="5040" w:hanging="360"/>
      </w:pPr>
    </w:lvl>
    <w:lvl w:ilvl="7" w:tplc="14C2A5AA">
      <w:start w:val="1"/>
      <w:numFmt w:val="lowerLetter"/>
      <w:lvlText w:val="%8."/>
      <w:lvlJc w:val="left"/>
      <w:pPr>
        <w:ind w:left="5760" w:hanging="360"/>
      </w:pPr>
    </w:lvl>
    <w:lvl w:ilvl="8" w:tplc="E1CAC6E0">
      <w:start w:val="1"/>
      <w:numFmt w:val="lowerRoman"/>
      <w:lvlText w:val="%9."/>
      <w:lvlJc w:val="right"/>
      <w:pPr>
        <w:ind w:left="6480" w:hanging="180"/>
      </w:pPr>
    </w:lvl>
  </w:abstractNum>
  <w:num w:numId="1" w16cid:durableId="1018198115">
    <w:abstractNumId w:val="3"/>
  </w:num>
  <w:num w:numId="2" w16cid:durableId="1743942476">
    <w:abstractNumId w:val="1"/>
  </w:num>
  <w:num w:numId="3" w16cid:durableId="2016758833">
    <w:abstractNumId w:val="2"/>
  </w:num>
  <w:num w:numId="4" w16cid:durableId="1574730531">
    <w:abstractNumId w:val="4"/>
  </w:num>
  <w:num w:numId="5" w16cid:durableId="1787576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2A3B51"/>
    <w:rsid w:val="00207A65"/>
    <w:rsid w:val="004D6986"/>
    <w:rsid w:val="00CA0BAE"/>
    <w:rsid w:val="00E8537E"/>
    <w:rsid w:val="01EEAFD9"/>
    <w:rsid w:val="028C1093"/>
    <w:rsid w:val="02DA963F"/>
    <w:rsid w:val="0326D80D"/>
    <w:rsid w:val="0431FC92"/>
    <w:rsid w:val="04526567"/>
    <w:rsid w:val="05274986"/>
    <w:rsid w:val="05959996"/>
    <w:rsid w:val="05FA0975"/>
    <w:rsid w:val="068A1106"/>
    <w:rsid w:val="08581F5A"/>
    <w:rsid w:val="088A4360"/>
    <w:rsid w:val="0A8A2E98"/>
    <w:rsid w:val="0B9CCB47"/>
    <w:rsid w:val="0BEE24AC"/>
    <w:rsid w:val="0D8356D6"/>
    <w:rsid w:val="0DE2D318"/>
    <w:rsid w:val="0DE44D28"/>
    <w:rsid w:val="0E7F6E33"/>
    <w:rsid w:val="103EDAEA"/>
    <w:rsid w:val="109E7504"/>
    <w:rsid w:val="117979B0"/>
    <w:rsid w:val="11890610"/>
    <w:rsid w:val="11908731"/>
    <w:rsid w:val="1233E5F0"/>
    <w:rsid w:val="130C2C28"/>
    <w:rsid w:val="14D8F09A"/>
    <w:rsid w:val="15E8CE35"/>
    <w:rsid w:val="16908327"/>
    <w:rsid w:val="16F46B57"/>
    <w:rsid w:val="173A0E4C"/>
    <w:rsid w:val="18C7DACA"/>
    <w:rsid w:val="1A444F45"/>
    <w:rsid w:val="1A8D7764"/>
    <w:rsid w:val="1B64DFAD"/>
    <w:rsid w:val="1B7882F5"/>
    <w:rsid w:val="1E2CB21F"/>
    <w:rsid w:val="1E899034"/>
    <w:rsid w:val="1EE45A0B"/>
    <w:rsid w:val="1F373516"/>
    <w:rsid w:val="1FF07255"/>
    <w:rsid w:val="20D7DD69"/>
    <w:rsid w:val="20F132FC"/>
    <w:rsid w:val="21540100"/>
    <w:rsid w:val="21C42C6F"/>
    <w:rsid w:val="225CAB8E"/>
    <w:rsid w:val="22CF1E4A"/>
    <w:rsid w:val="24466EA0"/>
    <w:rsid w:val="245BE5E5"/>
    <w:rsid w:val="24A8D5AD"/>
    <w:rsid w:val="2638269D"/>
    <w:rsid w:val="26E39FA4"/>
    <w:rsid w:val="26EF8F2C"/>
    <w:rsid w:val="27A1BF21"/>
    <w:rsid w:val="2A8E7E41"/>
    <w:rsid w:val="2BF165EC"/>
    <w:rsid w:val="2CB41D91"/>
    <w:rsid w:val="2D10F3D1"/>
    <w:rsid w:val="2D8AD4DD"/>
    <w:rsid w:val="2F00DE3F"/>
    <w:rsid w:val="322D10E3"/>
    <w:rsid w:val="322F617C"/>
    <w:rsid w:val="342F1B48"/>
    <w:rsid w:val="347E3610"/>
    <w:rsid w:val="34C015E5"/>
    <w:rsid w:val="353E5E2B"/>
    <w:rsid w:val="35560ED5"/>
    <w:rsid w:val="35BABA1C"/>
    <w:rsid w:val="364FD4B9"/>
    <w:rsid w:val="36B56B16"/>
    <w:rsid w:val="370F9567"/>
    <w:rsid w:val="3742164D"/>
    <w:rsid w:val="38083E89"/>
    <w:rsid w:val="38DF0D16"/>
    <w:rsid w:val="3979776B"/>
    <w:rsid w:val="39E2A914"/>
    <w:rsid w:val="3A725551"/>
    <w:rsid w:val="3B355EBA"/>
    <w:rsid w:val="3BC106BF"/>
    <w:rsid w:val="3C8EB989"/>
    <w:rsid w:val="3D212DD9"/>
    <w:rsid w:val="3D7377EF"/>
    <w:rsid w:val="3FEDEFD6"/>
    <w:rsid w:val="40874784"/>
    <w:rsid w:val="409F7FCC"/>
    <w:rsid w:val="4109EFB1"/>
    <w:rsid w:val="444782B0"/>
    <w:rsid w:val="447B5082"/>
    <w:rsid w:val="47B985C8"/>
    <w:rsid w:val="483F2CAB"/>
    <w:rsid w:val="48F31DC8"/>
    <w:rsid w:val="494197CE"/>
    <w:rsid w:val="4B7BD22E"/>
    <w:rsid w:val="4C90DADE"/>
    <w:rsid w:val="4D13EA85"/>
    <w:rsid w:val="4DCB4622"/>
    <w:rsid w:val="4E65445E"/>
    <w:rsid w:val="50777A38"/>
    <w:rsid w:val="509DDA66"/>
    <w:rsid w:val="50CBCB44"/>
    <w:rsid w:val="50D9AE22"/>
    <w:rsid w:val="512A3B51"/>
    <w:rsid w:val="51314A56"/>
    <w:rsid w:val="51964F36"/>
    <w:rsid w:val="522EC6E8"/>
    <w:rsid w:val="528E59B7"/>
    <w:rsid w:val="53B18BE7"/>
    <w:rsid w:val="544602F0"/>
    <w:rsid w:val="545B4612"/>
    <w:rsid w:val="54D23825"/>
    <w:rsid w:val="5532744F"/>
    <w:rsid w:val="579FBC91"/>
    <w:rsid w:val="57A47703"/>
    <w:rsid w:val="57EE2374"/>
    <w:rsid w:val="5810B521"/>
    <w:rsid w:val="59EE9FBC"/>
    <w:rsid w:val="5A087601"/>
    <w:rsid w:val="5B634ADD"/>
    <w:rsid w:val="5BE520A0"/>
    <w:rsid w:val="5BFD9554"/>
    <w:rsid w:val="5FE4DADF"/>
    <w:rsid w:val="60385E66"/>
    <w:rsid w:val="6059F0C4"/>
    <w:rsid w:val="610772E5"/>
    <w:rsid w:val="6204C741"/>
    <w:rsid w:val="6219016E"/>
    <w:rsid w:val="62244C9E"/>
    <w:rsid w:val="63245E9A"/>
    <w:rsid w:val="63907582"/>
    <w:rsid w:val="640C6E6E"/>
    <w:rsid w:val="64A7F3EB"/>
    <w:rsid w:val="6528D678"/>
    <w:rsid w:val="678A12CE"/>
    <w:rsid w:val="67D3CFE9"/>
    <w:rsid w:val="689A63F4"/>
    <w:rsid w:val="689C2BCA"/>
    <w:rsid w:val="69288766"/>
    <w:rsid w:val="696F8E14"/>
    <w:rsid w:val="6A479021"/>
    <w:rsid w:val="6A8D1672"/>
    <w:rsid w:val="6A8FC2E2"/>
    <w:rsid w:val="6AC9179D"/>
    <w:rsid w:val="6B4701E1"/>
    <w:rsid w:val="6CD236B7"/>
    <w:rsid w:val="6EF52E9A"/>
    <w:rsid w:val="6FE8AC81"/>
    <w:rsid w:val="7046D157"/>
    <w:rsid w:val="741D12AE"/>
    <w:rsid w:val="78773EE0"/>
    <w:rsid w:val="7B820F16"/>
    <w:rsid w:val="7BE838EE"/>
    <w:rsid w:val="7DC98014"/>
    <w:rsid w:val="7E0FCE1D"/>
    <w:rsid w:val="7E217038"/>
    <w:rsid w:val="7E351526"/>
    <w:rsid w:val="7E365822"/>
    <w:rsid w:val="7E56589B"/>
    <w:rsid w:val="7FB5D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B0F6"/>
  <w15:chartTrackingRefBased/>
  <w15:docId w15:val="{67C234E6-1583-4D8D-B3D4-A9ED1515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B355EBA"/>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928</Words>
  <Characters>5296</Characters>
  <Application>Microsoft Office Word</Application>
  <DocSecurity>0</DocSecurity>
  <Lines>44</Lines>
  <Paragraphs>12</Paragraphs>
  <ScaleCrop>false</ScaleCrop>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Jiaying</dc:creator>
  <cp:keywords/>
  <dc:description/>
  <cp:lastModifiedBy>Meng, Jiaying</cp:lastModifiedBy>
  <cp:revision>2</cp:revision>
  <dcterms:created xsi:type="dcterms:W3CDTF">2026-09-03T09:11:00Z</dcterms:created>
  <dcterms:modified xsi:type="dcterms:W3CDTF">2026-09-24T12:00:00Z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0a5bf6e0-61e5-49ab-9662-9785c43064d7</vt:lpwstr>
  </property>
</Properties>
</file>